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167" w:rsidRPr="008B5167" w:rsidRDefault="008B5167" w:rsidP="008B5167">
      <w:pPr>
        <w:spacing w:after="144" w:line="240" w:lineRule="auto"/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</w:pPr>
      <w:r w:rsidRPr="008B5167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>Конкурс (тендер) № 50674</w:t>
      </w:r>
      <w:r w:rsidRPr="008B5167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br/>
      </w:r>
      <w:r w:rsidRPr="008B51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Открытый одноэтапный конкурс без предварительного отбора на право заключения Договора на выполнение работ по разработке «Комплексной программы развития электрических сетей напряжением 35 </w:t>
      </w:r>
      <w:proofErr w:type="spellStart"/>
      <w:r w:rsidRPr="008B51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кВ</w:t>
      </w:r>
      <w:proofErr w:type="spellEnd"/>
      <w:r w:rsidRPr="008B5167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и выше на территории субъектов Российской Федерации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B5167" w:rsidRPr="008B5167" w:rsidTr="008B5167">
        <w:trPr>
          <w:tblCellSpacing w:w="7" w:type="dxa"/>
        </w:trPr>
        <w:tc>
          <w:tcPr>
            <w:tcW w:w="0" w:type="auto"/>
            <w:shd w:val="clear" w:color="auto" w:fill="C7CCD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bookmarkStart w:id="0" w:name="_GoBack"/>
          <w:bookmarkEnd w:id="0"/>
          <w:p w:rsidR="008B5167" w:rsidRPr="008B5167" w:rsidRDefault="008B5167" w:rsidP="008B5167">
            <w:pPr>
              <w:shd w:val="clear" w:color="auto" w:fill="C7CCD3"/>
              <w:spacing w:after="0" w:line="288" w:lineRule="auto"/>
              <w:outlineLvl w:val="2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8B516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fldChar w:fldCharType="begin"/>
            </w:r>
            <w:r w:rsidRPr="008B516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instrText xml:space="preserve"> HYPERLINK "http://www.b2b-mrsk.ru/firms/aktsionernoe-obshchestvo-energetiki-i-elektrifikatsii-tiumenenergo/247/" </w:instrText>
            </w:r>
            <w:r w:rsidRPr="008B516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fldChar w:fldCharType="separate"/>
            </w:r>
            <w:r w:rsidRPr="008B5167">
              <w:rPr>
                <w:rFonts w:ascii="Arial" w:eastAsia="Times New Roman" w:hAnsi="Arial" w:cs="Arial"/>
                <w:b/>
                <w:bCs/>
                <w:color w:val="1367CF"/>
                <w:sz w:val="21"/>
                <w:szCs w:val="21"/>
                <w:bdr w:val="none" w:sz="0" w:space="0" w:color="auto" w:frame="1"/>
                <w:lang w:eastAsia="ru-RU"/>
              </w:rPr>
              <w:t>Акционерное общество энергетики и электрификации "</w:t>
            </w:r>
            <w:proofErr w:type="spellStart"/>
            <w:r w:rsidRPr="008B5167">
              <w:rPr>
                <w:rFonts w:ascii="Arial" w:eastAsia="Times New Roman" w:hAnsi="Arial" w:cs="Arial"/>
                <w:b/>
                <w:bCs/>
                <w:color w:val="1367CF"/>
                <w:sz w:val="21"/>
                <w:szCs w:val="21"/>
                <w:bdr w:val="none" w:sz="0" w:space="0" w:color="auto" w:frame="1"/>
                <w:lang w:eastAsia="ru-RU"/>
              </w:rPr>
              <w:t>Тюменьэнерго</w:t>
            </w:r>
            <w:proofErr w:type="spellEnd"/>
            <w:r w:rsidRPr="008B5167">
              <w:rPr>
                <w:rFonts w:ascii="Arial" w:eastAsia="Times New Roman" w:hAnsi="Arial" w:cs="Arial"/>
                <w:b/>
                <w:bCs/>
                <w:color w:val="1367CF"/>
                <w:sz w:val="21"/>
                <w:szCs w:val="21"/>
                <w:bdr w:val="none" w:sz="0" w:space="0" w:color="auto" w:frame="1"/>
                <w:lang w:eastAsia="ru-RU"/>
              </w:rPr>
              <w:t>"</w:t>
            </w:r>
            <w:r w:rsidRPr="008B516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fldChar w:fldCharType="end"/>
            </w:r>
            <w:r w:rsidRPr="008B516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, 628412, Россия, г. Сургут, Тюменская область, ХМАО-Югра л. Университетская, д.4, </w:t>
            </w:r>
            <w:r w:rsidRPr="008B5167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приглашает принять участие в процедуре (тендере)</w:t>
            </w:r>
            <w:r w:rsidRPr="008B516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.</w:t>
            </w:r>
          </w:p>
        </w:tc>
      </w:tr>
      <w:tr w:rsidR="008B5167" w:rsidRPr="008B5167" w:rsidTr="008B5167">
        <w:trPr>
          <w:tblCellSpacing w:w="7" w:type="dxa"/>
        </w:trPr>
        <w:tc>
          <w:tcPr>
            <w:tcW w:w="0" w:type="auto"/>
            <w:shd w:val="clear" w:color="auto" w:fill="DDE3EB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658"/>
              <w:gridCol w:w="6669"/>
            </w:tblGrid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Предмет конкурса (тендера):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outlineLvl w:val="0"/>
                    <w:rPr>
                      <w:rFonts w:ascii="Arial" w:eastAsia="Times New Roman" w:hAnsi="Arial" w:cs="Arial"/>
                      <w:color w:val="000000"/>
                      <w:kern w:val="36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kern w:val="36"/>
                      <w:sz w:val="21"/>
                      <w:szCs w:val="21"/>
                      <w:lang w:eastAsia="ru-RU"/>
                    </w:rPr>
                    <w:t xml:space="preserve">Открытый одноэтапный конкурс без предварительного отбора на право заключения Договора на выполнение работ по разработке «Комплексной программы развития электрических сетей напряжением 35 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kern w:val="36"/>
                      <w:sz w:val="21"/>
                      <w:szCs w:val="21"/>
                      <w:lang w:eastAsia="ru-RU"/>
                    </w:rPr>
                    <w:t>кВ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kern w:val="36"/>
                      <w:sz w:val="21"/>
                      <w:szCs w:val="21"/>
                      <w:lang w:eastAsia="ru-RU"/>
                    </w:rPr>
                    <w:t xml:space="preserve"> и выше на территории субъектов Российской Федерации Ханты-Мансийского автономного округа – Югры, Ямало-Ненецкого автономного округа, Тюменской области на пятилетний период (2018-2022 годы)» и её ежегодной актуализацией на 2019-2023 и 2020-2024 годы соответственно.</w:t>
                  </w:r>
                </w:p>
                <w:p w:rsidR="008B5167" w:rsidRPr="008B5167" w:rsidRDefault="008B5167" w:rsidP="008B5167">
                  <w:pPr>
                    <w:spacing w:after="0" w:line="343" w:lineRule="atLeast"/>
                    <w:outlineLvl w:val="1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Лот № 1.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Выполнение работ по разработке "Комплексной программы развития электрических сетей напряжением 35 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кВ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и выше на территории субъектов Российской Федерации Ханты-Мансийского автономного округа  Югры, Ямало-Ненецкого автономного округа, Тюменской области на пятилетний период (2018-2022 годы)" и её ежегодной актуализацией на 2019-2023 и 2020-2024 годы соответственно.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Категории классификатора: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7310049 </w:t>
                  </w:r>
                  <w:hyperlink r:id="rId5" w:history="1">
                    <w:r w:rsidRPr="008B5167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Услуги по исследованиям и разработкам в области естественных наук прочих</w:t>
                    </w:r>
                  </w:hyperlink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Сроки поставки: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IV квартал, 2019 Год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С даты подписания договора до 15.11.2019 г. (в соответствии с календарным планом выполнения работ)ю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Почтовый адрес заказчика: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628408, Россия, г. Сургут, Тюменская область, ХМАО-Югра, ул. Университетская, д.4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Местонахождение заказчика: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628408, Россия, г. Сургут, Тюменская область, ХМАО-Югра, ул. Университетская, д.4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Контактное лицо: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r:id="rId6" w:tgtFrame="_blank" w:tooltip="Отправить личное сообщение" w:history="1">
                    <w:r w:rsidRPr="008B5167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Марков Иван Валентинович</w:t>
                    </w:r>
                  </w:hyperlink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, тел.+7 (3462) 77-60-36, </w:t>
                  </w:r>
                  <w:hyperlink r:id="rId7" w:history="1">
                    <w:r w:rsidRPr="008B5167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MarkovI@id.te.ru</w:t>
                    </w:r>
                  </w:hyperlink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Конкурсная комиссия: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Назначена приказом АО «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Требования к участникам: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Участник обязан декларировать в заявке о соответствии критериям отнесения к субъектам малого и среднего предпринимательства в соответствии со ст. 4 Федерального закона РФ от 24.07.2007г. №209-ФЗ.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Участник/ член коллективного Участника, должен обладать гражданской правоспособностью в полном объеме для заключения и исполнения Договора.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Участник/ член коллективного Участника, должен обладать необходимыми кадровыми ресурсами, имеющими профессиональное образование в области электроэнергетики не менее 37 человек, в том числе: 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Главный инженер проекта (ГИП) - не мене 1 чел. (образование высшее энергетическое);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инженер - проектировщик (в том числе нач. отделов/секторов) - не менее 28-ми чел. (образование высшее профессиональное/среднее профессиональное); 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специалисты расчётно-сметного направления - не менее 2 чел. (образование высшее профессиональное/среднее профессиональное);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специалисты по первичному (подстанционному и линейному) оборудованию - не менее 4 чел. (образование высшее профессиональное/среднее профессиональное);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специалисты по релейной защите и автоматике - не менее 2 чел. (образование высшее профессиональное/среднее профессиональное).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Участник/ член коллективного Участника, должен обладать необходимыми основными машинами и механизмами: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- автотранспорт грузопассажирский - не менее 1 ед., 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- автоматизированные рабочие места - не менее 28 мест; 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- оборудование для печати/сканирования: формата А4 - не менее 3 шт., формата А3 - не менее 1 шт.; 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- программное обеспечение: MS 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Office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2003-2007, 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AutoCad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не ниже версии 2010 года, 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Acrobat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Reader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не ниже 10 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версии,MS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Office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Visio2003-2007, 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- Гранд-Смета не ниже версии 5.3.3., 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- программа расчётов режимов работы электрической сети 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RastrWin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, 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- программа расчётов токов короткого 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замыкания_Energy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CS ТКЗ, программа проектирования электросетевых объектов.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Техническое и коммерческое предложения должны соответствовать требованиям Заказчика.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Требования к благонадежности Участника, членам коллективного Участника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а) Участник, в составе письма о подаче оферты (форма 1), должен дать согласие на проведение проверки благонадежности Службой экономической безопасности АО «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б) Участник должен быть платежеспособным (в отношении Участника не должно быть возбуждено дело о банкротстве /Участник не должен быть признан в порядке, установленном действующим законодательством, несостоятельным (банкротом);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в) деятельность Участника должна быть безубыточной за последний завершенный год;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г) экономическая деятельность Участника не должна быть приостановлена в административном порядке;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д) Участник не должен иметь задолженность по уплате налогов, согласно справке,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е) на имущество Участника не должен быть наложен арест;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з) отсутствие сведений об Участнике закупки и привлекаемых им субподрядчиков в следующих реестрах: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реестре недобросовестных поставщиков на электронном портале http://rnp.fas.gov.ru/;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едином федеральном реестре о банкротствах http://bankrot.fedresurs.ru/;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- реестре о возбужденных исполнительных производствах на электронном портале http://fssprus.ru/;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и) руководитель, а также собственники (учредители, акционеры) и бенефициары (в том числе конечные) Участника не должны быть работниками ПАО «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Россети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», ДЗО (ВЗО) ПАО «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Россети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», а также родственниками работников ПАО «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Россети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», ДЗО (ВЗО) ПАО «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Россети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к) Участник не должен быть аффилирован к другим Участникам закупки;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л) отсутствие у АО "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 информации о наличии за последние 24 месяца, предшествующих дате вскрытия конвертов, вступивших в законную силу судебных актов, подтверждающих неисполнение или ненадлежащее исполнение Участником договорных обязательств по поставке участником товаров, выполнению им работ, оказанию им услуг;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м) отсутствие сведений об исключении Участника из ЕГРЮЛ/ЕГРИП;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н) отсутствие фактов предоставления Участником недостоверных сведений и документов в рамках закупочной процедуры, либо предоставления неполного пакета учредительных, финансовых документов, в том числе, о конечных бенефициарах;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о) отсутствие за последние 36 месяцев, предшествующих дате вскрытия конвертов в данной закупочной процедуре, фактов одностороннего отказа АО «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 от исполнения заключенного(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ых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) с Участником закупки аналогичных предмету закупки договора(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ов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) в связи с ненадлежащим выполнением Участником обязательств: по поставке товаров участником, выполнению им работ, оказанию им услуг, в том числе когда Участник не приступил/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причинам, а также фактов наличия вступивших в законную силу решений суда о расторжении аналогичного предмету закупки договора; отсутствие за указанный в настоящем пункте период факта одностороннего отказа Участника, не связанного с виновными действиями АО "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", от исполнения заключенного(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ых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) с 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АО "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 аналогичных предмету закупки договора (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ов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);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п) в отношении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не ведется уголовное преследование по преступлениям предусмотренным главой 22 Уголовного кодекса Российской Федерации (за исключением статей 169, 170, 171.2, 184, 190-193), подтверждаемое актом о возбуждении в отношении данного лица уголовного дела, проведением в отношении него следственных действий (обыска, опознания, допроса и др.) и иными мерами, предпринимаемыми в целях его изобличения или свидетельствующими о наличии подозрений против него;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р) отсутствие двух и более отрицательных заключений СЭБ 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АО «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», вынесенных в течение 12 календарных месяцев, предшествующих дате вскрытия конвертов в данной закупочной процедуре, за предоставление недостоверных сведений в рамках проводимых закупочных процедур АО «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». 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СЭБ АО "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безопасности 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АО "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 (СЭБ АО "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Тюменьэнерго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").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Комплект конкурсной документации: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Конкурсную документацию Участники могут получить на Официальном сайте РФ – www.zakupki.gov.ru, электронно- торговой площадке - http://www.b2b-MRSK.ru/, а также на сайте Заказчика по адресу: www.te.ru в разделе «Закупки» и доступна для ознакомления без взимания платы.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Конкурсная документация: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r:id="rId8" w:history="1">
                    <w:r w:rsidRPr="008B5167">
                      <w:rPr>
                        <w:rFonts w:ascii="Arial" w:eastAsia="Times New Roman" w:hAnsi="Arial" w:cs="Arial"/>
                        <w:b/>
                        <w:bCs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Загрузить конкурсную документацию</w:t>
                    </w:r>
                  </w:hyperlink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Порядок предоставления конкурсной документации: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Конкурсная документация предоставляется без взимания платы в форме электронного документа на сайте системы B2B-Center (www.b2b-center.ru), начиная с даты размещения закупки.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Обеспечение конкурсных заявок, кроме банковских гарантий: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Обеспечение заявки на участие в процедуре закупки путем внесения денежных средств на счет, указанный в документации о закупке в размере не менее 3 % от начальной цены лота с учетом налогов.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Конкурсные заявки: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Все документы, входящие в Конкурсную заявку должны быть подготовлены на русском языке. Все суммы денежных средств в документах, входящих в Конкурсную заявку, должны быть выражены в российских рублях. Конкурсные заявки должны быть подготовлены в соответствии с требованиями Конкурсной документации и предоставлены Организатору торгов в электронный сейф в соответствии с действующими регламентами электронной системы «b2b-mrsk.ru» в установленный срок.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При выборе победителя учитывается: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Цена с НДС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Место вскрытия конвертов: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Вскрытие конвертов с заявками состоится на сайте системы электронных торгов группы B2B-Center (www.b2b-center.ru).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Дата окончания подачи заявок: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Вскрытие конвертов с заявками состоится </w:t>
                  </w:r>
                  <w:r w:rsidRPr="008B516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01.11.2016 в 13:30 по московскому времени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Дата рассмотрения заявок: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21.11.2016 12:00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Место рассмотрения заявок: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628408, Россия, г. Сургут, Тюменская область, ХМАО-Югра, ул. Университетская, д.4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Дата и время подведения итогов: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01.12.2016 12:00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Место подведения итогов: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628408, Россия, г. Сургут, Тюменская область, ХМАО-Югра, ул. Университетская, д.4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Критерии выбора победителя и сроки заключения договора: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Конкурсная комиссия на своем заседании определяет Победителя Конкурса как Участника, Конкурсная заявка которого заняла первое место в итоговой 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ранжировке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Конкурсных заявок по степени предпочтительности для Заказчика. Оценка Конкурсных заявок осуществляется Конкурсной комиссией и иными лицами (экспертами и специалистами), привлеченными Конкурсной комиссией. Договор между Заказчиком и Победителем заключается в срок не ранее чем через десять календарных дней, но не более двадцати рабочих дней со дня подписания протокола о результатах конкурса. Организатор Конкурса вправе, при необходимости, изменить данный срок.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Лимитная (начальная) цена закупки: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Лот № 1. 50 236 900,05 руб. (цена с НДС)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Переторжка: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Организатор конкурса имеет право воспользоваться правом на проведение переторжки.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Поставщик не должен находиться в реестре недобросовестных поставщиков</w:t>
                  </w:r>
                  <w:r w:rsidRPr="008B5167">
                    <w:rPr>
                      <w:rFonts w:ascii="Arial" w:eastAsia="Times New Roman" w:hAnsi="Arial" w:cs="Arial"/>
                      <w:noProof/>
                      <w:color w:val="000000"/>
                      <w:sz w:val="21"/>
                      <w:szCs w:val="21"/>
                      <w:lang w:eastAsia="ru-RU"/>
                    </w:rPr>
                    <w:drawing>
                      <wp:inline distT="0" distB="0" distL="0" distR="0" wp14:anchorId="5E2050AD" wp14:editId="6511CC9B">
                        <wp:extent cx="145415" cy="145415"/>
                        <wp:effectExtent l="0" t="0" r="6985" b="6985"/>
                        <wp:docPr id="1" name="Рисунок 1" descr="http://www.b2b-mrsk.ru/images/ico/system-question-alt-0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2b-mrsk.ru/images/ico/system-question-alt-0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415" cy="1454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vanish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vanish/>
                      <w:color w:val="000000"/>
                      <w:sz w:val="21"/>
                      <w:szCs w:val="21"/>
                      <w:lang w:eastAsia="ru-RU"/>
                    </w:rPr>
                    <w:t>Организатором установлено требование об отсутствии сведений о участнике процедуры в реестр недобросовестных поставщиков. Проверка на соответствие данному требованию осуществляется организатором самостоятельно</w:t>
                  </w:r>
                </w:p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Да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Дополнительная информация о конкурсе: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Закупка проводится в электронной форме (Заявка Участника предоставляется только в электронном виде через функционал ЭТП. Заявка Участника на бумажном носителе не предоставляется)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Информация о закупке размещена на Официальном сайте РФ – www.zakupki.gov.ru, на 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электронно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торговой площадке - http://www.b2b-MRSK.ru/ , а также на сайте Заказчика по адресу: www.te.ru в разделе «Закупки» и доступна для ознакомления без взимания платы.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Подробная информация с указанием количества поставляемого товара, объема выполняемых работ, оказываемых услуг указана в приложении №1 к конкурсной документации «Техническое задание».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Условия договора, заключаемого по результатам закупки, указаны в Приложении № 2 к закупочной документации «Проект договора».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Перед окончательным определением победителя Организатор конкурса вправе потребовать от любого участника конкурса подтверждения его соответствия квалификационным требованиям. Подтверждение соответствия Участника квалификационным требованиям проводится по критериям, указанным в Конкурсной документации. Подтверждение соответствия Участника квалификационным требованиям может проводиться как по всем критериям, так и выборочно. Отказ Участника от данной процедуры может расцениваться конкурсной комиссией как предоставление заведомо ложной информации. Заявка участника конкурса, не отвечающего требованиям, будет отклонена.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Организатор конкурса имеет право отказаться от проведения конкурса в любое время до подписания протокола о результатах конкурса, не неся никакой ответственности перед Участниками конкурса или третьими лицами, которым такое действие может принести убытки. 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Заказчик может изменить сроки подведения этапов «рассмотрения предложений участников» и «подведения итогов закупочной процедуры».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Остальные и более подробные условия Конкурса содержатся в Конкурсной документации, являющейся неотъемлемым приложением к данному Извещению.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по организационным вопросам: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Марков Иван Валентинович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тел. (3462) 77-60-36,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е-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mail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: MarkovI@id.te.ru;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по техническим вопросам: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Гришин Андрей Вячеславович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телефон: тел. (3462) 77-62-96, 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е-</w:t>
                  </w:r>
                  <w:proofErr w:type="spellStart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mail</w:t>
                  </w:r>
                  <w:proofErr w:type="spellEnd"/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: GrishinA@id.te.ru</w:t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Адрес места поставки товара, проведения работ или оказания услуг:</w:t>
                  </w:r>
                </w:p>
              </w:tc>
              <w:tc>
                <w:tcPr>
                  <w:tcW w:w="0" w:type="auto"/>
                  <w:shd w:val="clear" w:color="auto" w:fill="EDF0F3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w:history="1">
                    <w:r w:rsidRPr="008B5167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628408, Российская Федерация, г. Сургут, Тюменская область, ХМАО-Югра л. Университетская, д.4</w:t>
                    </w:r>
                  </w:hyperlink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</w:t>
                  </w: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pict/>
                  </w:r>
                </w:p>
              </w:tc>
            </w:tr>
            <w:tr w:rsidR="008B5167" w:rsidRPr="008B5167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8B516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Программа закупок:</w:t>
                  </w:r>
                </w:p>
              </w:tc>
              <w:tc>
                <w:tcPr>
                  <w:tcW w:w="0" w:type="auto"/>
                  <w:shd w:val="clear" w:color="auto" w:fill="DDE3EB"/>
                  <w:hideMark/>
                </w:tcPr>
                <w:p w:rsidR="008B5167" w:rsidRPr="008B5167" w:rsidRDefault="008B5167" w:rsidP="008B5167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r:id="rId10" w:history="1">
                    <w:r w:rsidRPr="008B5167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Заявка № 4879348</w:t>
                    </w:r>
                  </w:hyperlink>
                </w:p>
              </w:tc>
            </w:tr>
          </w:tbl>
          <w:p w:rsidR="008B5167" w:rsidRPr="008B5167" w:rsidRDefault="008B5167" w:rsidP="008B5167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412C54" w:rsidRDefault="00412C54"/>
    <w:sectPr w:rsidR="00412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F3A04"/>
    <w:multiLevelType w:val="multilevel"/>
    <w:tmpl w:val="D250E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6B9"/>
    <w:rsid w:val="00412C54"/>
    <w:rsid w:val="008B5167"/>
    <w:rsid w:val="00D6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16583"/>
  <w15:chartTrackingRefBased/>
  <w15:docId w15:val="{B501786B-F7DD-4D11-8136-1D13B4828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1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63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97274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215930">
                          <w:marLeft w:val="0"/>
                          <w:marRight w:val="-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73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873903">
                                  <w:marLeft w:val="0"/>
                                  <w:marRight w:val="0"/>
                                  <w:marTop w:val="0"/>
                                  <w:marBottom w:val="14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108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75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3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market/edit_tender.html?id=50674&amp;action=doc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kovI@id.te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2b-mrsk.ru/popups/send_message.html?action=send&amp;to=70570&amp;subject=%D0%92%D0%BE%D0%BF%D1%80%D0%BE%D1%81+%D0%BF%D0%BE+%D0%BA%D0%BE%D0%BD%D0%BA%D1%83%D1%80%D1%81%D1%83+%E2%84%96+5067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2b-mrsk.ru/market/list_tenders.html?all=0&amp;cat_id=117310049&amp;open=1" TargetMode="External"/><Relationship Id="rId10" Type="http://schemas.openxmlformats.org/officeDocument/2006/relationships/hyperlink" Target="http://www.b2b-mrsk.ru/summaries/view_gkpz.html?id=4879348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2200</Words>
  <Characters>12544</Characters>
  <Application>Microsoft Office Word</Application>
  <DocSecurity>0</DocSecurity>
  <Lines>104</Lines>
  <Paragraphs>29</Paragraphs>
  <ScaleCrop>false</ScaleCrop>
  <Company/>
  <LinksUpToDate>false</LinksUpToDate>
  <CharactersWithSpaces>14715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Марков Иван Валентинович</cp:lastModifiedBy>
  <cp:revision>2</cp:revision>
  <dcterms:created xsi:type="dcterms:W3CDTF">2016-10-12T10:14:00Z</dcterms:created>
  <dcterms:modified xsi:type="dcterms:W3CDTF">2016-10-12T10:14:00Z</dcterms:modified>
</cp:coreProperties>
</file>